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D4672" w14:textId="27896570" w:rsidR="007B5CB9" w:rsidRDefault="005F2362" w:rsidP="005F2362">
      <w:pPr>
        <w:jc w:val="center"/>
        <w:rPr>
          <w:b/>
          <w:bCs/>
          <w:sz w:val="28"/>
          <w:szCs w:val="28"/>
        </w:rPr>
      </w:pPr>
      <w:r>
        <w:rPr>
          <w:b/>
          <w:bCs/>
          <w:sz w:val="28"/>
          <w:szCs w:val="28"/>
        </w:rPr>
        <w:t>Incontro per formazione di educatori e volontari dell’oratorio</w:t>
      </w:r>
    </w:p>
    <w:p w14:paraId="2F204233" w14:textId="12816357" w:rsidR="005F2362" w:rsidRDefault="005F2362" w:rsidP="005F2362">
      <w:pPr>
        <w:jc w:val="center"/>
        <w:rPr>
          <w:b/>
          <w:bCs/>
          <w:sz w:val="28"/>
          <w:szCs w:val="28"/>
        </w:rPr>
      </w:pPr>
      <w:r>
        <w:rPr>
          <w:b/>
          <w:bCs/>
          <w:sz w:val="28"/>
          <w:szCs w:val="28"/>
        </w:rPr>
        <w:t xml:space="preserve">Sala </w:t>
      </w:r>
      <w:proofErr w:type="spellStart"/>
      <w:r>
        <w:rPr>
          <w:b/>
          <w:bCs/>
          <w:sz w:val="28"/>
          <w:szCs w:val="28"/>
        </w:rPr>
        <w:t>Pertusati</w:t>
      </w:r>
      <w:proofErr w:type="spellEnd"/>
      <w:r>
        <w:rPr>
          <w:b/>
          <w:bCs/>
          <w:sz w:val="28"/>
          <w:szCs w:val="28"/>
        </w:rPr>
        <w:t xml:space="preserve"> in vescovado – Pavia – sabato 28 febbraio 2026</w:t>
      </w:r>
    </w:p>
    <w:p w14:paraId="3397D399" w14:textId="77777777" w:rsidR="005F2362" w:rsidRDefault="005F2362" w:rsidP="005F2362">
      <w:pPr>
        <w:jc w:val="center"/>
        <w:rPr>
          <w:b/>
          <w:bCs/>
          <w:sz w:val="28"/>
          <w:szCs w:val="28"/>
        </w:rPr>
      </w:pPr>
    </w:p>
    <w:p w14:paraId="4CB05642" w14:textId="43995A52" w:rsidR="005F2362" w:rsidRDefault="005F2362" w:rsidP="005F2362">
      <w:pPr>
        <w:jc w:val="center"/>
        <w:rPr>
          <w:b/>
          <w:bCs/>
          <w:i/>
          <w:iCs/>
          <w:sz w:val="28"/>
          <w:szCs w:val="28"/>
        </w:rPr>
      </w:pPr>
      <w:r>
        <w:rPr>
          <w:b/>
          <w:bCs/>
          <w:i/>
          <w:iCs/>
          <w:sz w:val="28"/>
          <w:szCs w:val="28"/>
        </w:rPr>
        <w:t>Uno sguardo sullo stile educativo di Gesù</w:t>
      </w:r>
    </w:p>
    <w:p w14:paraId="1D444AD4" w14:textId="77777777" w:rsidR="005F2362" w:rsidRDefault="005F2362" w:rsidP="005F2362">
      <w:pPr>
        <w:jc w:val="center"/>
        <w:rPr>
          <w:b/>
          <w:bCs/>
          <w:i/>
          <w:iCs/>
          <w:sz w:val="28"/>
          <w:szCs w:val="28"/>
        </w:rPr>
      </w:pPr>
    </w:p>
    <w:p w14:paraId="3311BA83" w14:textId="77777777" w:rsidR="005F2362" w:rsidRDefault="005F2362" w:rsidP="005F2362">
      <w:pPr>
        <w:jc w:val="center"/>
        <w:rPr>
          <w:b/>
          <w:bCs/>
          <w:i/>
          <w:iCs/>
          <w:sz w:val="28"/>
          <w:szCs w:val="28"/>
        </w:rPr>
      </w:pPr>
    </w:p>
    <w:p w14:paraId="39867361" w14:textId="4D9A3A4D" w:rsidR="005F2362" w:rsidRDefault="00FB394A" w:rsidP="005F2362">
      <w:r>
        <w:t xml:space="preserve">Non vorrei fare una “lezione” ma provare a leggere con voi alcuni passi dei Vangeli </w:t>
      </w:r>
      <w:r w:rsidR="00EE0C54">
        <w:t xml:space="preserve">che </w:t>
      </w:r>
      <w:r>
        <w:t>mostrano come Gesù, nella narrazione degli evangelisti, esprime e vive un</w:t>
      </w:r>
      <w:r w:rsidR="005F01D7">
        <w:t>a</w:t>
      </w:r>
      <w:r>
        <w:t xml:space="preserve"> dinamica educativa che raggiunge sia il gruppo dei discepoli, in particolare dei Dodici, scelti a stare con il Maestro e coinvolti da subito nella missione di Cristo, sia singole persone.</w:t>
      </w:r>
    </w:p>
    <w:p w14:paraId="451785DB" w14:textId="65DB5A02" w:rsidR="00FB394A" w:rsidRDefault="00FB394A" w:rsidP="005F2362">
      <w:r>
        <w:t>Non intendo offrire un “trattato” su Gesù educatore – tra l’altro poco confacente al carattere dei testi evangelici che,</w:t>
      </w:r>
      <w:r w:rsidR="00EE0C54">
        <w:t xml:space="preserve"> </w:t>
      </w:r>
      <w:r>
        <w:t>ovviamente, non perseguono in prima battuta intenzioni pedagogiche e che intendono comunicare una presentazione biografica completa né, tanto meno, una caratterizzazione della psicologia e della pedagogia di Gesù – ma, insieme con voi, in un ascolto e in lavoro che vi coinvolgerà in piccoli gruppetti, leggere tre passi evangelici che</w:t>
      </w:r>
      <w:r w:rsidR="00D251E3">
        <w:t xml:space="preserve"> </w:t>
      </w:r>
      <w:r>
        <w:t>racchiudono tratti del modo con cui Gesù entra in relazione con le persone, provocando, in modo diverso, la loro libertà,</w:t>
      </w:r>
      <w:r w:rsidR="00D251E3">
        <w:t xml:space="preserve"> e, almeno indirettamente, permettono di cogliere aspetti non esaustivi della pedagogia del Signore.</w:t>
      </w:r>
    </w:p>
    <w:p w14:paraId="3DF08931" w14:textId="77777777" w:rsidR="00D251E3" w:rsidRDefault="00D251E3" w:rsidP="005F2362"/>
    <w:p w14:paraId="5C9F9BD2" w14:textId="1FD9A5B7" w:rsidR="00D251E3" w:rsidRDefault="007C3A10" w:rsidP="005F2362">
      <w:r>
        <w:t xml:space="preserve">In premessa, prima di indicare i passaggi dei Vangeli, su cui lavoreremo, divisi in gruppi, con l’aiuto di alcune domande per leggere e interrogare i testi, vorrei richiamare </w:t>
      </w:r>
      <w:r w:rsidR="00EE0C54">
        <w:t>tre</w:t>
      </w:r>
      <w:r>
        <w:t xml:space="preserve"> note che caratterizzano il ministero e l’attività di Gesù.</w:t>
      </w:r>
    </w:p>
    <w:p w14:paraId="035E206B" w14:textId="52A898B6" w:rsidR="007C3A10" w:rsidRDefault="007C3A10" w:rsidP="005F2362">
      <w:r>
        <w:t>Innanzitutto, fin dall’inizio della sua vita pubblica, come rabbi itinerante nei villaggi della Galilea, che nello spazio di due anni e mezzo compie più salite a Gerusalemme, in occasione delle grandi feste ebraiche, come pellegrino con la sua nuova “famiglia” composta dai Dodici, Gesù sceglie di costituire un piccolo gruppo di discepoli, chiamati a lasciare tutto per stare con lui. Il testo più espressivo, che presenta il momento solenne della costituzione del gruppo dei Dodici</w:t>
      </w:r>
      <w:r w:rsidR="005F01D7">
        <w:t>,</w:t>
      </w:r>
      <w:r>
        <w:t xml:space="preserve"> </w:t>
      </w:r>
      <w:r w:rsidR="00465133">
        <w:t xml:space="preserve">è nel </w:t>
      </w:r>
      <w:r w:rsidR="005F01D7">
        <w:t>V</w:t>
      </w:r>
      <w:r w:rsidR="00465133">
        <w:t>angelo di Marco:</w:t>
      </w:r>
    </w:p>
    <w:p w14:paraId="351E365B" w14:textId="5047A678" w:rsidR="005F01D7" w:rsidRDefault="006057FC" w:rsidP="006057FC">
      <w:pPr>
        <w:pStyle w:val="Citazione"/>
      </w:pPr>
      <w:r w:rsidRPr="006057FC">
        <w:t> </w:t>
      </w:r>
      <w:r w:rsidRPr="006057FC">
        <w:rPr>
          <w:vertAlign w:val="superscript"/>
        </w:rPr>
        <w:t>13</w:t>
      </w:r>
      <w:r w:rsidRPr="006057FC">
        <w:t>Salì poi sul monte, chiamò a sé quelli che voleva ed essi andarono da lui. </w:t>
      </w:r>
      <w:r w:rsidRPr="006057FC">
        <w:rPr>
          <w:vertAlign w:val="superscript"/>
        </w:rPr>
        <w:t>14</w:t>
      </w:r>
      <w:r w:rsidRPr="006057FC">
        <w:t>Ne costituì Dodici - che chiamò apostoli -, perché stessero con lui e per mandarli a predicare </w:t>
      </w:r>
      <w:r w:rsidRPr="006057FC">
        <w:rPr>
          <w:vertAlign w:val="superscript"/>
        </w:rPr>
        <w:t>15</w:t>
      </w:r>
      <w:r w:rsidRPr="006057FC">
        <w:t>con il potere di scacciare i demòni. </w:t>
      </w:r>
      <w:proofErr w:type="gramStart"/>
      <w:r w:rsidRPr="006057FC">
        <w:rPr>
          <w:vertAlign w:val="superscript"/>
        </w:rPr>
        <w:t>16</w:t>
      </w:r>
      <w:r w:rsidRPr="006057FC">
        <w:t>Costituì dunque</w:t>
      </w:r>
      <w:proofErr w:type="gramEnd"/>
      <w:r w:rsidRPr="006057FC">
        <w:t xml:space="preserve"> i Dodici: Simone, al quale impose il nome di Pietro, </w:t>
      </w:r>
      <w:r w:rsidRPr="006057FC">
        <w:rPr>
          <w:vertAlign w:val="superscript"/>
        </w:rPr>
        <w:t>17</w:t>
      </w:r>
      <w:r w:rsidRPr="006057FC">
        <w:t xml:space="preserve">poi Giacomo, figlio di Zebedeo, e Giovanni fratello di Giacomo, ai quali diede il nome di </w:t>
      </w:r>
      <w:proofErr w:type="spellStart"/>
      <w:r w:rsidRPr="006057FC">
        <w:t>Boanèrghes</w:t>
      </w:r>
      <w:proofErr w:type="spellEnd"/>
      <w:r w:rsidRPr="006057FC">
        <w:t>, cioè «figli del tuono»; </w:t>
      </w:r>
      <w:r w:rsidRPr="006057FC">
        <w:rPr>
          <w:vertAlign w:val="superscript"/>
        </w:rPr>
        <w:t>18</w:t>
      </w:r>
      <w:r w:rsidRPr="006057FC">
        <w:t>e Andrea, Filippo, Bartolomeo, Matteo, Tommaso, Giacomo, figlio di Alfeo, Taddeo, Simone il Cananeo </w:t>
      </w:r>
      <w:r w:rsidRPr="006057FC">
        <w:rPr>
          <w:vertAlign w:val="superscript"/>
        </w:rPr>
        <w:t>19</w:t>
      </w:r>
      <w:r w:rsidRPr="006057FC">
        <w:t>e Giuda Iscariota, il quale poi lo tradì</w:t>
      </w:r>
      <w:r>
        <w:t xml:space="preserve"> (Mc 3,13-19).</w:t>
      </w:r>
    </w:p>
    <w:p w14:paraId="51288636" w14:textId="3CBF372A" w:rsidR="006057FC" w:rsidRPr="006057FC" w:rsidRDefault="006057FC" w:rsidP="006057FC">
      <w:r>
        <w:t>Notiamo l’assoluta libertà con cui Gesù sceglie e chiama e la finalità prima di questa scelta: che stiano con lui, che entrino in una relazione stabile nel tempo con lui. Una chiamata che coinvolge un “noi” e dà origine a una comunità ben identificabile e allo stesso tempo una chiamata che si rivolge ai singoli, di cui si ricordano i nomi originari e, per alcuni, i nomi ricevuti da Gesù.</w:t>
      </w:r>
    </w:p>
    <w:p w14:paraId="415EAE58" w14:textId="0C299143" w:rsidR="007C3A10" w:rsidRDefault="006057FC" w:rsidP="005F2362">
      <w:r>
        <w:t>D</w:t>
      </w:r>
      <w:r w:rsidR="007C3A10">
        <w:t xml:space="preserve">a allora, Gesù non agisce da solo, è sempre accompagnato da questi uomini che lo seguono, in modo </w:t>
      </w:r>
      <w:r w:rsidR="00D1124A">
        <w:t>costante</w:t>
      </w:r>
      <w:r w:rsidR="007C3A10">
        <w:t>, e da un gruppo più ampio e mobile di discepoli. Certo nei villaggi, nelle piazze, nelle sinagoghe, nell’ampio cortile del tempio di Gerusalemme, Gesù si rivolge a gruppi anche estesi di persone e soprattutto nei Vangeli sinottici, accanto al Maestro e ai discepoli, spesso è evocata la folla, destinataria dell’insegnamento e testimone, talvolta, dei suoi gesti di potenza.</w:t>
      </w:r>
    </w:p>
    <w:p w14:paraId="3E0D0705" w14:textId="1FB212DD" w:rsidR="00D1124A" w:rsidRDefault="00D1124A" w:rsidP="005F2362">
      <w:r>
        <w:t>Tuttavia, lungo tutta la narrazione i Dodici hanno un ruolo, sul piano narrativo, spesso di co-protagonisti e fin dai primi passi della missione in Galilea, Gesù li manda a due a due nei villaggi, a far riecheggiare il suo annuncio, l’annuncio del Regno ormai vicino, e a ripetere le sue opere di guarigione e di salvezza, come se attraverso di loro, venisse anticipata e preparata la venuta di Cristo:</w:t>
      </w:r>
    </w:p>
    <w:p w14:paraId="13DA4C61" w14:textId="60D3E1BD" w:rsidR="00D1124A" w:rsidRDefault="00AF60F7" w:rsidP="00AF60F7">
      <w:pPr>
        <w:pStyle w:val="Citazione"/>
      </w:pPr>
      <w:r w:rsidRPr="00AF60F7">
        <w:rPr>
          <w:vertAlign w:val="superscript"/>
        </w:rPr>
        <w:t>7</w:t>
      </w:r>
      <w:r w:rsidRPr="00AF60F7">
        <w:t>Chiamò a sé i Dodici e prese a mandarli a due a due e dava loro potere sugli spiriti impuri.</w:t>
      </w:r>
      <w:r>
        <w:t xml:space="preserve"> […]</w:t>
      </w:r>
      <w:r>
        <w:rPr>
          <w:vertAlign w:val="superscript"/>
        </w:rPr>
        <w:t xml:space="preserve"> </w:t>
      </w:r>
      <w:r w:rsidRPr="00AF60F7">
        <w:rPr>
          <w:vertAlign w:val="superscript"/>
        </w:rPr>
        <w:t>12</w:t>
      </w:r>
      <w:r w:rsidRPr="00AF60F7">
        <w:t>Ed essi, partiti, proclamarono che la gente si</w:t>
      </w:r>
      <w:r>
        <w:t xml:space="preserve"> </w:t>
      </w:r>
      <w:r w:rsidRPr="00AF60F7">
        <w:t>convertisse, </w:t>
      </w:r>
      <w:r w:rsidRPr="00AF60F7">
        <w:rPr>
          <w:vertAlign w:val="superscript"/>
        </w:rPr>
        <w:t>13</w:t>
      </w:r>
      <w:r w:rsidRPr="00AF60F7">
        <w:t>scacciavano molti demòni, ungevano con olio molti infermi e li guarivano</w:t>
      </w:r>
      <w:r>
        <w:t xml:space="preserve"> (Mc 6,7.12-13).</w:t>
      </w:r>
    </w:p>
    <w:p w14:paraId="164E82AC" w14:textId="53660618" w:rsidR="001C082F" w:rsidRDefault="001C082F" w:rsidP="001C082F">
      <w:r>
        <w:lastRenderedPageBreak/>
        <w:t>Nel Vangelo di Marco, si delinea un cammino di sequela e di discepolato dei Dodici – che potrebbe essere oggetto di studio – segnato da un paradosso: più i discepoli stanno con Gesù, meno sembrano comprendere le sue parole! È un cammino drammatico, che conoscerà una cesura nell’ora dell’arresto di Gesù e della passione, quando tutti fuggiranno, Giuda tradirà il Maestro e Pietro, vinto dalla paura e dal panico, rinnegherà perfino di avere mai conosciuto Gesù.</w:t>
      </w:r>
    </w:p>
    <w:p w14:paraId="284E4299" w14:textId="0807DCA1" w:rsidR="001C082F" w:rsidRDefault="001C082F" w:rsidP="001C082F">
      <w:r>
        <w:t>Ma dopo la risurrezione del Signore, nelle parole del giovane vestito di bianco alle donne impaurite, si annuncia un nuovo inizio, proprio in Galilea, dove tutto era iniziato</w:t>
      </w:r>
      <w:r w:rsidR="0045065F">
        <w:t>:</w:t>
      </w:r>
      <w:r>
        <w:t xml:space="preserve"> </w:t>
      </w:r>
    </w:p>
    <w:p w14:paraId="3C5BFA63" w14:textId="309B88B3" w:rsidR="0045065F" w:rsidRDefault="0045065F" w:rsidP="0045065F">
      <w:pPr>
        <w:pStyle w:val="Citazione"/>
      </w:pPr>
      <w:r w:rsidRPr="0045065F">
        <w:t>«Non abbiate paura! Voi cercate Gesù Nazareno, il crocifisso. È risorto, non è qui. Ecco il luogo dove l</w:t>
      </w:r>
      <w:r>
        <w:t>’</w:t>
      </w:r>
      <w:r w:rsidRPr="0045065F">
        <w:t>avevano posto. </w:t>
      </w:r>
      <w:r w:rsidRPr="0045065F">
        <w:rPr>
          <w:vertAlign w:val="superscript"/>
        </w:rPr>
        <w:t>7</w:t>
      </w:r>
      <w:r w:rsidRPr="0045065F">
        <w:t xml:space="preserve">Ma andate, dite ai suoi discepoli e a Pietro: </w:t>
      </w:r>
      <w:r>
        <w:t>“</w:t>
      </w:r>
      <w:r w:rsidRPr="0045065F">
        <w:t>Egli vi precede in Galilea. Là lo vedrete, come vi ha detto</w:t>
      </w:r>
      <w:r>
        <w:t>”</w:t>
      </w:r>
      <w:r w:rsidRPr="0045065F">
        <w:t>»</w:t>
      </w:r>
      <w:r>
        <w:t xml:space="preserve"> (Mc 16,6-7).</w:t>
      </w:r>
    </w:p>
    <w:p w14:paraId="2BD8B6CC" w14:textId="022EB3E9" w:rsidR="0045065F" w:rsidRPr="0045065F" w:rsidRDefault="0045065F" w:rsidP="0045065F">
      <w:r>
        <w:t>Nel Vangelo di Matteo si profila un nuovo rapporto</w:t>
      </w:r>
      <w:r w:rsidR="00EE0C54">
        <w:t>:</w:t>
      </w:r>
      <w:r>
        <w:t xml:space="preserve"> il Risorto che appare alle donne chiama i discepoli «miei fratelli», e anche in Giovanni, il Signore si rivolge con parole simili a Maria di Magdala:</w:t>
      </w:r>
    </w:p>
    <w:p w14:paraId="00BBB423" w14:textId="218D117D" w:rsidR="0045065F" w:rsidRDefault="0045065F" w:rsidP="0045065F">
      <w:pPr>
        <w:pStyle w:val="Citazione"/>
      </w:pPr>
      <w:r w:rsidRPr="0045065F">
        <w:rPr>
          <w:vertAlign w:val="superscript"/>
        </w:rPr>
        <w:t>10</w:t>
      </w:r>
      <w:r w:rsidRPr="0045065F">
        <w:t>Allora Gesù disse loro: «Non temete; andate ad annunciare ai miei fratelli che vadano in Galilea: là mi vedranno»</w:t>
      </w:r>
      <w:r>
        <w:t xml:space="preserve"> (Mt 28,10).</w:t>
      </w:r>
    </w:p>
    <w:p w14:paraId="4E25CF27" w14:textId="024FAFA6" w:rsidR="0045065F" w:rsidRDefault="0045065F" w:rsidP="0045065F">
      <w:pPr>
        <w:pStyle w:val="Citazione"/>
      </w:pPr>
      <w:r w:rsidRPr="0045065F">
        <w:t> </w:t>
      </w:r>
      <w:r w:rsidRPr="0045065F">
        <w:rPr>
          <w:vertAlign w:val="superscript"/>
        </w:rPr>
        <w:t>17</w:t>
      </w:r>
      <w:r w:rsidRPr="0045065F">
        <w:t>Gesù le disse: «Non mi trattenere, perché non sono ancora salito al Padre; ma va</w:t>
      </w:r>
      <w:r>
        <w:t>’</w:t>
      </w:r>
      <w:r w:rsidRPr="0045065F">
        <w:t xml:space="preserve"> dai miei fratelli e di</w:t>
      </w:r>
      <w:r>
        <w:t>’</w:t>
      </w:r>
      <w:r w:rsidRPr="0045065F">
        <w:t xml:space="preserve"> loro: </w:t>
      </w:r>
      <w:r>
        <w:t>“</w:t>
      </w:r>
      <w:r w:rsidRPr="0045065F">
        <w:t>Salgo al Padre mio e Padre vostro, Dio mio e Dio vostro</w:t>
      </w:r>
      <w:r>
        <w:t>”</w:t>
      </w:r>
      <w:r w:rsidRPr="0045065F">
        <w:t>»</w:t>
      </w:r>
      <w:r>
        <w:t xml:space="preserve"> (</w:t>
      </w:r>
      <w:proofErr w:type="spellStart"/>
      <w:r>
        <w:t>Gv</w:t>
      </w:r>
      <w:proofErr w:type="spellEnd"/>
      <w:r>
        <w:t xml:space="preserve"> 20,17).</w:t>
      </w:r>
    </w:p>
    <w:p w14:paraId="1B90890F" w14:textId="4ABD46C6" w:rsidR="009573C5" w:rsidRDefault="0045065F" w:rsidP="0045065F">
      <w:r>
        <w:t xml:space="preserve">Una seconda notazione riguarda il centro dell’annuncio e dell’insegnamento di Gesù: nella fase </w:t>
      </w:r>
      <w:r w:rsidR="00F630B2">
        <w:t>prepasquale</w:t>
      </w:r>
      <w:r>
        <w:t>, Gesù proclama e attesta la vicinanza del Regno di Dio, come signoria salvifica e potente all’opera nella storia, di cui sono segn</w:t>
      </w:r>
      <w:r w:rsidR="00EE0C54">
        <w:t>i</w:t>
      </w:r>
      <w:r>
        <w:t xml:space="preserve"> i suoi gesti di guarigione e di misericordia, gli esorcismi, i miracoli, le guarigioni</w:t>
      </w:r>
      <w:r w:rsidR="00F630B2">
        <w:t>. Proprio la vicinanza del Regno</w:t>
      </w:r>
      <w:r w:rsidR="009573C5">
        <w:t>,</w:t>
      </w:r>
      <w:r w:rsidR="00F630B2">
        <w:t xml:space="preserve"> che si fa prossimo e presente nella persona e nell’opera di Cristo</w:t>
      </w:r>
      <w:r w:rsidR="009573C5">
        <w:t>,</w:t>
      </w:r>
      <w:r w:rsidR="00F630B2">
        <w:t xml:space="preserve"> chiama tutti alla conversione, a un cambiamento di pensiero e di vita e si fa offerta di perdono gratuito ai peccatori e salvezza e speranza per i poveri, i malati, gli indemoniati, i piccoli, gli “scartati” di allora</w:t>
      </w:r>
      <w:r w:rsidR="009573C5">
        <w:t>.</w:t>
      </w:r>
    </w:p>
    <w:p w14:paraId="5348992B" w14:textId="2E8935B0" w:rsidR="009573C5" w:rsidRDefault="009573C5" w:rsidP="0045065F">
      <w:r>
        <w:t>Nel cammino di Gesù con i suoi discepoli, sempre più, viene in evidenza la necessità di seguire Cristo come condizione di salvezza e di vita: accogliere il Regno è accogliere lui, seguire lui, fino a perdere la vita per lui. È una “pretesa” inaudita e crescente che provoca soprattutto i discepoli, i numerosi “simpatizzanti”, attratti e toccati da questo Maestro così originale.</w:t>
      </w:r>
    </w:p>
    <w:p w14:paraId="5D0895F6" w14:textId="44201488" w:rsidR="009573C5" w:rsidRDefault="009573C5" w:rsidP="009573C5">
      <w:r>
        <w:t>Ma Gesù, alla fine, non mette se stesso al centro, nel senso che seguire lui, ascoltare la sua parola apre alla novità del Regno di Dio in atto e conduce a scoprire il volto del Padre, il Padre di Gesù, che vive con lui una relazione unica – è «il Padre mio» - e che chiama tutti a entrare in un rapporto filiale di fiducia e di adesione piena alla sua volontà di salvezza : così Gesù lo chiama «il Padre vostro» e insegna a invocarlo come «Padre nostro».</w:t>
      </w:r>
    </w:p>
    <w:p w14:paraId="7B127A3F" w14:textId="73C1782E" w:rsidR="009573C5" w:rsidRDefault="009573C5" w:rsidP="009573C5">
      <w:r>
        <w:t xml:space="preserve">Dopo la Pasqua </w:t>
      </w:r>
      <w:r w:rsidR="001855C0">
        <w:t xml:space="preserve">il Regno annunciato assume il volto del Risorto e perciò al centro del </w:t>
      </w:r>
      <w:proofErr w:type="spellStart"/>
      <w:r w:rsidR="001855C0">
        <w:rPr>
          <w:i/>
          <w:iCs/>
        </w:rPr>
        <w:t>kerygma</w:t>
      </w:r>
      <w:proofErr w:type="spellEnd"/>
      <w:r w:rsidR="001855C0">
        <w:rPr>
          <w:i/>
          <w:iCs/>
        </w:rPr>
        <w:t xml:space="preserve"> </w:t>
      </w:r>
      <w:r w:rsidR="001855C0">
        <w:t xml:space="preserve">e della </w:t>
      </w:r>
      <w:proofErr w:type="spellStart"/>
      <w:r w:rsidR="001855C0">
        <w:rPr>
          <w:i/>
          <w:iCs/>
        </w:rPr>
        <w:t>didaché</w:t>
      </w:r>
      <w:proofErr w:type="spellEnd"/>
      <w:r w:rsidR="001855C0">
        <w:rPr>
          <w:i/>
          <w:iCs/>
        </w:rPr>
        <w:t xml:space="preserve"> </w:t>
      </w:r>
      <w:r w:rsidR="001855C0">
        <w:t>degli apostoli c’è il mistero pasquale, la testimonianza della risurrezione e della vita nuova di Cristo risuscitato e vivente: in Lui ora è accordato il perdono dei peccati e si compie la salvezza nel suo nome di Signore e Salvatore e nella potenza dello Spirito Santo, effuso dal Risorto, si rende possibile la vita nuova come figli nel Figlio. Anche il Signore risorto, glorificato alla destra del Padre, ci porta oltre sé, ci conduce al Padre, ci fa entrare nella gioia di essere figli amati e salvati.</w:t>
      </w:r>
    </w:p>
    <w:p w14:paraId="2CFA593F" w14:textId="6B13A9AB" w:rsidR="00717F94" w:rsidRDefault="00717F94" w:rsidP="009573C5">
      <w:r>
        <w:t>Tutto questo per ricordarci che l’orizzonte di un’educazione cristiana e della proposta che facciamo ai nostri ragazzi e giovani deve avere questo respiro: la novità del Regno, la sequela di Gesù e l’amicizia con lui, vivo e presente, la bellezza di scoprirci figli del Padre e di vivere nello Spirito una relazione di familiarità e di fiducia con «il Padre del Signore nostro Gesù Cristo» (secondo la tipica espressione paolina).</w:t>
      </w:r>
    </w:p>
    <w:p w14:paraId="5E2214D6" w14:textId="77777777" w:rsidR="00717F94" w:rsidRDefault="00717F94" w:rsidP="009573C5"/>
    <w:p w14:paraId="01989DDE" w14:textId="5A50E53B" w:rsidR="00F16F84" w:rsidRDefault="00717F94" w:rsidP="00F16F84">
      <w:r>
        <w:t>Un</w:t>
      </w:r>
      <w:r w:rsidR="002D605A">
        <w:t xml:space="preserve">’ultima notazione si può raccogliere dalla parabola del seminatore, </w:t>
      </w:r>
      <w:r w:rsidR="00F16F84">
        <w:t>che, com’è noto, è presente in tutti i vangeli sinottici (Mt 13,1-23 // Mc 4,1-20 // Lc 8,4-15</w:t>
      </w:r>
      <w:r w:rsidR="00EE0C54">
        <w:t>)</w:t>
      </w:r>
      <w:r w:rsidR="00F16F84">
        <w:t xml:space="preserve"> e rappresenta la prima estesa parabola, accompagnata da una spiegazione successiva ai discepoli: nel testo di Marco, acquista un ruolo centrale, tanto che Gesù avverte: «</w:t>
      </w:r>
      <w:r w:rsidR="00F16F84" w:rsidRPr="00F16F84">
        <w:t>Non capite questa parabola, e come potrete comprendere tutte le parabole?</w:t>
      </w:r>
      <w:r w:rsidR="00F16F84">
        <w:t>» (Mc 4,13).</w:t>
      </w:r>
    </w:p>
    <w:p w14:paraId="07DBD721" w14:textId="1E30A560" w:rsidR="00F16F84" w:rsidRDefault="00520854" w:rsidP="00F16F84">
      <w:r>
        <w:lastRenderedPageBreak/>
        <w:t xml:space="preserve">La parabola mette a tema come accade il mistero del Regno, annunciato da Gesù e attraverso l’immagine dell’abbondante semina, con esiti molto differenti a seconda dei terreni sui cui cade il seme, </w:t>
      </w:r>
      <w:r w:rsidR="002A1935">
        <w:t>si profila una dinamica paradossale: da una parte molti semi vanno perduti, in certi casi non riescono nemmeno a penetrare nella terra, in altri producono un’iniziale frutto, che viene però seccato o soffocato; dall’altra parte i semi che cadono sulla terra buona portano frutto in proporzioni eccezionali e sovrabbondanti.</w:t>
      </w:r>
    </w:p>
    <w:p w14:paraId="353FF673" w14:textId="75DE112F" w:rsidR="002A1935" w:rsidRDefault="002A1935" w:rsidP="00F16F84">
      <w:r>
        <w:t>Ora, non intendo offrire un’esegesi del testo, nelle sue tre redazioni evangeliche, che comprendono tutte la spiegazione data in privato ai discepoli. Tuttavia, l’immagine del seme e la sua sorte nei diversi terreni getta una luce sul modo in cui il Regno si fa strada nei cuori e nella storia e suggerisce qualcosa che ha a che fare con lo stile dell’annuncio e dell’educazione alla fede.</w:t>
      </w:r>
    </w:p>
    <w:p w14:paraId="2D03E942" w14:textId="48EA7691" w:rsidR="002A1935" w:rsidRDefault="002A1935" w:rsidP="002A1935">
      <w:r>
        <w:t>Infatti, il seme evoca una realtà minima, silenziosa, quasi irrilevante, che ha in sé una potenza di vita. Nella parabola propria di Marco circa il seme che spunta da solo (cfr. Mc 4,26-29), l’evangelista mette in rilievo la forza autonoma del seme che cresce e porta frutto: «</w:t>
      </w:r>
      <w:r w:rsidRPr="002A1935">
        <w:t>Così è il regno di Dio: come un uomo che getta il seme sul terreno;</w:t>
      </w:r>
      <w:r>
        <w:t xml:space="preserve"> </w:t>
      </w:r>
      <w:r w:rsidRPr="002A1935">
        <w:t>dorma o vegli, di notte o di giorno, il seme germoglia e cresce. Come, egli stesso non lo sa</w:t>
      </w:r>
      <w:r>
        <w:t xml:space="preserve">» (Mc 4,26-27). Mentre nella parabola del granello di senape, attestata nei tre sinottici (Mt 13, 31-32 // Mc 4,30-32 // Lc </w:t>
      </w:r>
      <w:r w:rsidR="00E86117">
        <w:t>13,18-19), l’accento cade sulla sproporzione tra la piccolezza del granello di senape e la grandezza dell’albero che da riparo agli uccelli che nidificano sui suoi rami.</w:t>
      </w:r>
    </w:p>
    <w:p w14:paraId="3E677715" w14:textId="0EC36A50" w:rsidR="00E86117" w:rsidRDefault="00E86117" w:rsidP="002A1935">
      <w:r>
        <w:t xml:space="preserve">Dunque, la penetrazione del Regno di Dio nella terra degli uomini avviene secondo un dinamismo in cui s’intrecciano tre aspetti: un inizio umile e discreto, che ha bisogno di tempi e di cura; la possibilità di un esito molto differente, che dipende non dal seme, da ciò che è donato e proposto, ma dalla disponibilità del cuore, dalla posizione che la persona assume; </w:t>
      </w:r>
      <w:proofErr w:type="gramStart"/>
      <w:r>
        <w:t>infine</w:t>
      </w:r>
      <w:proofErr w:type="gramEnd"/>
      <w:r>
        <w:t xml:space="preserve"> l’eccedenza e la stupefacente fecondità del seme, la sproporzione tra l’inizio e lo sviluppo nel tempo e nella vita.</w:t>
      </w:r>
    </w:p>
    <w:p w14:paraId="0F48BC8D" w14:textId="78B14230" w:rsidR="00E86117" w:rsidRDefault="00E86117" w:rsidP="002A1935">
      <w:r>
        <w:t xml:space="preserve">Con un’avvertenza: mentre nell’immagine parabolica, i vari terreni (la strada/sentiero tra i campi, il terreno sassoso, quello con rovi e spine, quello buono) sono determinati e fissi, ciò non accade a livello del cuore umano, nel senso che ci possono momenti nella vita di una persona </w:t>
      </w:r>
      <w:r w:rsidR="00911091">
        <w:t>rappresentati dai primi tre terreni che non danno frutto, e ci possono essere momenti in cui si è un terreno buono, si ha una disponibilità grande al seme del Vangelo e del Regno.</w:t>
      </w:r>
      <w:r w:rsidR="00AA13FD">
        <w:t xml:space="preserve"> Anzi, nella complessità del cuore umano, nella storia concreta e talvolta tortuosa di una persona, possono convivere i “terreni” della parabola e, in fondo, anche nell’uomo più indifferente o ostile, chiuso a Dio e alla verità, resta sempre un lembo del cuore che è terra buona in cui, sorprendentemente, il seme del Vangelo può attecchire!</w:t>
      </w:r>
    </w:p>
    <w:p w14:paraId="4EF00C9A" w14:textId="697281C0" w:rsidR="00AA13FD" w:rsidRDefault="00390B09" w:rsidP="002A1935">
      <w:r>
        <w:t>Se proviamo a disegnare lo stile di un educatore cristiano nell’accompagnamento di ragazzi e giovani in cammino, nella luce di questi tratti evangelici del Regno che cresce come un seme abbondante e potenzialmente carico di vita e di fecondità, possiamo raccogliere indicazioni significative.</w:t>
      </w:r>
    </w:p>
    <w:p w14:paraId="08B730BC" w14:textId="7D0E6FE3" w:rsidR="00390B09" w:rsidRDefault="00390B09" w:rsidP="00CA06AC">
      <w:pPr>
        <w:pStyle w:val="Paragrafoelenco"/>
        <w:numPr>
          <w:ilvl w:val="0"/>
          <w:numId w:val="1"/>
        </w:numPr>
      </w:pPr>
      <w:r>
        <w:t>Non dobbiamo avere paura di seminare con generosità e senza troppi calcoli: il tempo e l’energia che spendiamo nella testimonianza e nella comunicazione della fede, attraverso relazioni, gesti, parole, esperienze di valore, sono sempre spesi bene, non sta a noi decidere e determinare destinatari e frutti.</w:t>
      </w:r>
    </w:p>
    <w:p w14:paraId="1CA8D1E1" w14:textId="23823E71" w:rsidR="00390B09" w:rsidRDefault="00390B09" w:rsidP="00CA06AC">
      <w:pPr>
        <w:pStyle w:val="Paragrafoelenco"/>
        <w:numPr>
          <w:ilvl w:val="0"/>
          <w:numId w:val="1"/>
        </w:numPr>
      </w:pPr>
      <w:r>
        <w:t>Il fattore “tempo” è essenziale, perché non c’è maturazione immediata e può accadere che i frutti di certe semine non saranno visti da noi, ma da chi verrà dopo di noi, secondo la logica bene espressa nella parola di Gesù ai discepoli nel Vangelo di Giovanni: «</w:t>
      </w:r>
      <w:r w:rsidRPr="00390B09">
        <w:t>Chi miete riceve il salario e raccoglie frutto per la vita eterna, perché chi semina gioisca insieme a chi miete.</w:t>
      </w:r>
      <w:r>
        <w:t xml:space="preserve"> </w:t>
      </w:r>
      <w:r w:rsidRPr="00390B09">
        <w:t xml:space="preserve">In </w:t>
      </w:r>
      <w:proofErr w:type="gramStart"/>
      <w:r w:rsidRPr="00390B09">
        <w:t>questo infatti</w:t>
      </w:r>
      <w:proofErr w:type="gramEnd"/>
      <w:r w:rsidRPr="00390B09">
        <w:t xml:space="preserve"> si dimostra vero il proverbio: uno semina e l'altro miete.</w:t>
      </w:r>
      <w:r>
        <w:t xml:space="preserve"> </w:t>
      </w:r>
      <w:r w:rsidRPr="00390B09">
        <w:t>Io vi ho mandati a mietere ciò per cui non avete faticato; altri hanno faticato e voi siete subentrati nella loro fatica</w:t>
      </w:r>
      <w:r>
        <w:t>» (</w:t>
      </w:r>
      <w:proofErr w:type="spellStart"/>
      <w:r>
        <w:t>Gv</w:t>
      </w:r>
      <w:proofErr w:type="spellEnd"/>
      <w:r>
        <w:t xml:space="preserve"> 4,36-38).</w:t>
      </w:r>
    </w:p>
    <w:p w14:paraId="2B5796E6" w14:textId="0C25E340" w:rsidR="00390B09" w:rsidRDefault="00390B09" w:rsidP="00CA06AC">
      <w:pPr>
        <w:pStyle w:val="Paragrafoelenco"/>
        <w:numPr>
          <w:ilvl w:val="0"/>
          <w:numId w:val="1"/>
        </w:numPr>
      </w:pPr>
      <w:r>
        <w:t xml:space="preserve">A differenza dei terreni, il cuore </w:t>
      </w:r>
      <w:r w:rsidR="00CA06AC">
        <w:t>degli adolescenti</w:t>
      </w:r>
      <w:r>
        <w:t xml:space="preserve"> e dei giovani è molto più instabile e può conoscere fasi differenti, manifestando atteggiamenti e posizioni molto diverse rispetto alla proposta educativa che ricevono</w:t>
      </w:r>
      <w:r w:rsidR="00CA06AC">
        <w:t>: non dobbiamo mai perdere la fiducia nella possibilità di cambiamenti anche inattesi e non dobbiamo mai dimenticare che in ogni ragazzo c’è un punto d’accesso al bene, al vero, al bello, c’è un lembo di cuore che è terra buona e fertile.</w:t>
      </w:r>
    </w:p>
    <w:p w14:paraId="45C13117" w14:textId="77777777" w:rsidR="0045065F" w:rsidRPr="0045065F" w:rsidRDefault="0045065F" w:rsidP="0045065F"/>
    <w:sectPr w:rsidR="0045065F" w:rsidRPr="0045065F" w:rsidSect="00683DAB">
      <w:headerReference w:type="even" r:id="rId7"/>
      <w:headerReference w:type="default" r:id="rId8"/>
      <w:pgSz w:w="11906" w:h="16838"/>
      <w:pgMar w:top="1417"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C5AD49" w14:textId="77777777" w:rsidR="001C6558" w:rsidRDefault="001C6558" w:rsidP="00683DAB">
      <w:r>
        <w:separator/>
      </w:r>
    </w:p>
  </w:endnote>
  <w:endnote w:type="continuationSeparator" w:id="0">
    <w:p w14:paraId="56F64317" w14:textId="77777777" w:rsidR="001C6558" w:rsidRDefault="001C6558" w:rsidP="00683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7B03F1" w14:textId="77777777" w:rsidR="001C6558" w:rsidRDefault="001C6558" w:rsidP="00683DAB">
      <w:r>
        <w:separator/>
      </w:r>
    </w:p>
  </w:footnote>
  <w:footnote w:type="continuationSeparator" w:id="0">
    <w:p w14:paraId="4CE5DDCB" w14:textId="77777777" w:rsidR="001C6558" w:rsidRDefault="001C6558" w:rsidP="00683D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76471511"/>
      <w:docPartObj>
        <w:docPartGallery w:val="Page Numbers (Top of Page)"/>
        <w:docPartUnique/>
      </w:docPartObj>
    </w:sdtPr>
    <w:sdtContent>
      <w:p w14:paraId="693CC6A5" w14:textId="482EDD4C" w:rsidR="00683DAB" w:rsidRDefault="00683DAB" w:rsidP="00692988">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3B73EC4B" w14:textId="77777777" w:rsidR="00683DAB" w:rsidRDefault="00683DAB" w:rsidP="00683DAB">
    <w:pPr>
      <w:pStyle w:val="Intestazio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440449613"/>
      <w:docPartObj>
        <w:docPartGallery w:val="Page Numbers (Top of Page)"/>
        <w:docPartUnique/>
      </w:docPartObj>
    </w:sdtPr>
    <w:sdtContent>
      <w:p w14:paraId="726691B9" w14:textId="658E95CB" w:rsidR="00683DAB" w:rsidRDefault="00683DAB" w:rsidP="00692988">
        <w:pPr>
          <w:pStyle w:val="Intestazione"/>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7C58B6B7" w14:textId="77777777" w:rsidR="00683DAB" w:rsidRDefault="00683DAB" w:rsidP="00683DAB">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37D1A"/>
    <w:multiLevelType w:val="hybridMultilevel"/>
    <w:tmpl w:val="5802C9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65705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362"/>
    <w:rsid w:val="001855C0"/>
    <w:rsid w:val="001C082F"/>
    <w:rsid w:val="001C6558"/>
    <w:rsid w:val="002A1935"/>
    <w:rsid w:val="002D605A"/>
    <w:rsid w:val="00375943"/>
    <w:rsid w:val="00390B09"/>
    <w:rsid w:val="0045065F"/>
    <w:rsid w:val="00452674"/>
    <w:rsid w:val="00457835"/>
    <w:rsid w:val="00465133"/>
    <w:rsid w:val="00520854"/>
    <w:rsid w:val="005652DE"/>
    <w:rsid w:val="005B20EF"/>
    <w:rsid w:val="005B260D"/>
    <w:rsid w:val="005F01D7"/>
    <w:rsid w:val="005F2362"/>
    <w:rsid w:val="006057FC"/>
    <w:rsid w:val="00683DAB"/>
    <w:rsid w:val="00717F94"/>
    <w:rsid w:val="007B5CB9"/>
    <w:rsid w:val="007C3A10"/>
    <w:rsid w:val="007C66D7"/>
    <w:rsid w:val="008D4213"/>
    <w:rsid w:val="008F0C0F"/>
    <w:rsid w:val="00911091"/>
    <w:rsid w:val="009573C5"/>
    <w:rsid w:val="00A13A32"/>
    <w:rsid w:val="00A76759"/>
    <w:rsid w:val="00AA13FD"/>
    <w:rsid w:val="00AF60F7"/>
    <w:rsid w:val="00B62AA6"/>
    <w:rsid w:val="00CA06AC"/>
    <w:rsid w:val="00D1124A"/>
    <w:rsid w:val="00D251E3"/>
    <w:rsid w:val="00E86117"/>
    <w:rsid w:val="00EE0C54"/>
    <w:rsid w:val="00F16F84"/>
    <w:rsid w:val="00F630B2"/>
    <w:rsid w:val="00FB39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EB95102"/>
  <w15:chartTrackingRefBased/>
  <w15:docId w15:val="{9ED30281-7D5D-364E-99A9-BEE8E220F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57835"/>
    <w:pPr>
      <w:spacing w:after="0" w:line="240" w:lineRule="auto"/>
      <w:jc w:val="both"/>
    </w:pPr>
    <w:rPr>
      <w:rFonts w:ascii="Times New Roman" w:hAnsi="Times New Roman" w:cs="Times New Roman"/>
      <w:kern w:val="0"/>
      <w:lang w:eastAsia="it-IT"/>
      <w14:ligatures w14:val="none"/>
    </w:rPr>
  </w:style>
  <w:style w:type="paragraph" w:styleId="Titolo1">
    <w:name w:val="heading 1"/>
    <w:basedOn w:val="Normale"/>
    <w:next w:val="Normale"/>
    <w:link w:val="Titolo1Carattere"/>
    <w:uiPriority w:val="9"/>
    <w:qFormat/>
    <w:rsid w:val="005F23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F23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F23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F23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F2362"/>
    <w:pPr>
      <w:keepNext/>
      <w:keepLines/>
      <w:spacing w:before="80" w:after="40"/>
      <w:outlineLvl w:val="4"/>
    </w:pPr>
    <w:rPr>
      <w:rFonts w:asciiTheme="minorHAnsi" w:eastAsiaTheme="majorEastAsia" w:hAnsiTheme="minorHAnsi" w:cstheme="majorBidi"/>
      <w:color w:val="0F4761" w:themeColor="accent1" w:themeShade="BF"/>
    </w:rPr>
  </w:style>
  <w:style w:type="paragraph" w:styleId="Titolo6">
    <w:name w:val="heading 6"/>
    <w:basedOn w:val="Normale"/>
    <w:next w:val="Normale"/>
    <w:link w:val="Titolo6Carattere"/>
    <w:uiPriority w:val="9"/>
    <w:semiHidden/>
    <w:unhideWhenUsed/>
    <w:qFormat/>
    <w:rsid w:val="005F2362"/>
    <w:pPr>
      <w:keepNext/>
      <w:keepLines/>
      <w:spacing w:before="40"/>
      <w:outlineLvl w:val="5"/>
    </w:pPr>
    <w:rPr>
      <w:rFonts w:asciiTheme="minorHAnsi" w:eastAsiaTheme="majorEastAsia" w:hAnsiTheme="minorHAnsi" w:cstheme="majorBidi"/>
      <w:i/>
      <w:iCs/>
      <w:color w:val="595959" w:themeColor="text1" w:themeTint="A6"/>
    </w:rPr>
  </w:style>
  <w:style w:type="paragraph" w:styleId="Titolo7">
    <w:name w:val="heading 7"/>
    <w:basedOn w:val="Normale"/>
    <w:next w:val="Normale"/>
    <w:link w:val="Titolo7Carattere"/>
    <w:uiPriority w:val="9"/>
    <w:semiHidden/>
    <w:unhideWhenUsed/>
    <w:qFormat/>
    <w:rsid w:val="005F2362"/>
    <w:pPr>
      <w:keepNext/>
      <w:keepLines/>
      <w:spacing w:before="40"/>
      <w:outlineLvl w:val="6"/>
    </w:pPr>
    <w:rPr>
      <w:rFonts w:asciiTheme="minorHAnsi" w:eastAsiaTheme="majorEastAsia" w:hAnsiTheme="minorHAnsi" w:cstheme="majorBidi"/>
      <w:color w:val="595959" w:themeColor="text1" w:themeTint="A6"/>
    </w:rPr>
  </w:style>
  <w:style w:type="paragraph" w:styleId="Titolo8">
    <w:name w:val="heading 8"/>
    <w:basedOn w:val="Normale"/>
    <w:next w:val="Normale"/>
    <w:link w:val="Titolo8Carattere"/>
    <w:uiPriority w:val="9"/>
    <w:semiHidden/>
    <w:unhideWhenUsed/>
    <w:qFormat/>
    <w:rsid w:val="005F2362"/>
    <w:pPr>
      <w:keepNext/>
      <w:keepLines/>
      <w:outlineLvl w:val="7"/>
    </w:pPr>
    <w:rPr>
      <w:rFonts w:asciiTheme="minorHAnsi" w:eastAsiaTheme="majorEastAsia" w:hAnsiTheme="minorHAnsi" w:cstheme="majorBidi"/>
      <w:i/>
      <w:iCs/>
      <w:color w:val="272727" w:themeColor="text1" w:themeTint="D8"/>
    </w:rPr>
  </w:style>
  <w:style w:type="paragraph" w:styleId="Titolo9">
    <w:name w:val="heading 9"/>
    <w:basedOn w:val="Normale"/>
    <w:next w:val="Normale"/>
    <w:link w:val="Titolo9Carattere"/>
    <w:uiPriority w:val="9"/>
    <w:semiHidden/>
    <w:unhideWhenUsed/>
    <w:qFormat/>
    <w:rsid w:val="005F2362"/>
    <w:pPr>
      <w:keepNext/>
      <w:keepLines/>
      <w:outlineLvl w:val="8"/>
    </w:pPr>
    <w:rPr>
      <w:rFonts w:asciiTheme="minorHAnsi" w:eastAsiaTheme="majorEastAsia" w:hAnsiTheme="minorHAnsi"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F2362"/>
    <w:rPr>
      <w:rFonts w:asciiTheme="majorHAnsi" w:eastAsiaTheme="majorEastAsia" w:hAnsiTheme="majorHAnsi" w:cstheme="majorBidi"/>
      <w:color w:val="0F4761" w:themeColor="accent1" w:themeShade="BF"/>
      <w:kern w:val="0"/>
      <w:sz w:val="40"/>
      <w:szCs w:val="40"/>
      <w:lang w:eastAsia="it-IT"/>
      <w14:ligatures w14:val="none"/>
    </w:rPr>
  </w:style>
  <w:style w:type="character" w:customStyle="1" w:styleId="Titolo2Carattere">
    <w:name w:val="Titolo 2 Carattere"/>
    <w:basedOn w:val="Carpredefinitoparagrafo"/>
    <w:link w:val="Titolo2"/>
    <w:uiPriority w:val="9"/>
    <w:semiHidden/>
    <w:rsid w:val="005F2362"/>
    <w:rPr>
      <w:rFonts w:asciiTheme="majorHAnsi" w:eastAsiaTheme="majorEastAsia" w:hAnsiTheme="majorHAnsi" w:cstheme="majorBidi"/>
      <w:color w:val="0F4761" w:themeColor="accent1" w:themeShade="BF"/>
      <w:kern w:val="0"/>
      <w:sz w:val="32"/>
      <w:szCs w:val="32"/>
      <w:lang w:eastAsia="it-IT"/>
      <w14:ligatures w14:val="none"/>
    </w:rPr>
  </w:style>
  <w:style w:type="character" w:customStyle="1" w:styleId="Titolo3Carattere">
    <w:name w:val="Titolo 3 Carattere"/>
    <w:basedOn w:val="Carpredefinitoparagrafo"/>
    <w:link w:val="Titolo3"/>
    <w:uiPriority w:val="9"/>
    <w:semiHidden/>
    <w:rsid w:val="005F2362"/>
    <w:rPr>
      <w:rFonts w:eastAsiaTheme="majorEastAsia" w:cstheme="majorBidi"/>
      <w:color w:val="0F4761" w:themeColor="accent1" w:themeShade="BF"/>
      <w:kern w:val="0"/>
      <w:sz w:val="28"/>
      <w:szCs w:val="28"/>
      <w:lang w:eastAsia="it-IT"/>
      <w14:ligatures w14:val="none"/>
    </w:rPr>
  </w:style>
  <w:style w:type="character" w:customStyle="1" w:styleId="Titolo4Carattere">
    <w:name w:val="Titolo 4 Carattere"/>
    <w:basedOn w:val="Carpredefinitoparagrafo"/>
    <w:link w:val="Titolo4"/>
    <w:uiPriority w:val="9"/>
    <w:semiHidden/>
    <w:rsid w:val="005F2362"/>
    <w:rPr>
      <w:rFonts w:eastAsiaTheme="majorEastAsia" w:cstheme="majorBidi"/>
      <w:i/>
      <w:iCs/>
      <w:color w:val="0F4761" w:themeColor="accent1" w:themeShade="BF"/>
      <w:kern w:val="0"/>
      <w:lang w:eastAsia="it-IT"/>
      <w14:ligatures w14:val="none"/>
    </w:rPr>
  </w:style>
  <w:style w:type="character" w:customStyle="1" w:styleId="Titolo5Carattere">
    <w:name w:val="Titolo 5 Carattere"/>
    <w:basedOn w:val="Carpredefinitoparagrafo"/>
    <w:link w:val="Titolo5"/>
    <w:uiPriority w:val="9"/>
    <w:semiHidden/>
    <w:rsid w:val="005F2362"/>
    <w:rPr>
      <w:rFonts w:eastAsiaTheme="majorEastAsia" w:cstheme="majorBidi"/>
      <w:color w:val="0F4761" w:themeColor="accent1" w:themeShade="BF"/>
      <w:kern w:val="0"/>
      <w:lang w:eastAsia="it-IT"/>
      <w14:ligatures w14:val="none"/>
    </w:rPr>
  </w:style>
  <w:style w:type="character" w:customStyle="1" w:styleId="Titolo6Carattere">
    <w:name w:val="Titolo 6 Carattere"/>
    <w:basedOn w:val="Carpredefinitoparagrafo"/>
    <w:link w:val="Titolo6"/>
    <w:uiPriority w:val="9"/>
    <w:semiHidden/>
    <w:rsid w:val="005F2362"/>
    <w:rPr>
      <w:rFonts w:eastAsiaTheme="majorEastAsia" w:cstheme="majorBidi"/>
      <w:i/>
      <w:iCs/>
      <w:color w:val="595959" w:themeColor="text1" w:themeTint="A6"/>
      <w:kern w:val="0"/>
      <w:lang w:eastAsia="it-IT"/>
      <w14:ligatures w14:val="none"/>
    </w:rPr>
  </w:style>
  <w:style w:type="character" w:customStyle="1" w:styleId="Titolo7Carattere">
    <w:name w:val="Titolo 7 Carattere"/>
    <w:basedOn w:val="Carpredefinitoparagrafo"/>
    <w:link w:val="Titolo7"/>
    <w:uiPriority w:val="9"/>
    <w:semiHidden/>
    <w:rsid w:val="005F2362"/>
    <w:rPr>
      <w:rFonts w:eastAsiaTheme="majorEastAsia" w:cstheme="majorBidi"/>
      <w:color w:val="595959" w:themeColor="text1" w:themeTint="A6"/>
      <w:kern w:val="0"/>
      <w:lang w:eastAsia="it-IT"/>
      <w14:ligatures w14:val="none"/>
    </w:rPr>
  </w:style>
  <w:style w:type="character" w:customStyle="1" w:styleId="Titolo8Carattere">
    <w:name w:val="Titolo 8 Carattere"/>
    <w:basedOn w:val="Carpredefinitoparagrafo"/>
    <w:link w:val="Titolo8"/>
    <w:uiPriority w:val="9"/>
    <w:semiHidden/>
    <w:rsid w:val="005F2362"/>
    <w:rPr>
      <w:rFonts w:eastAsiaTheme="majorEastAsia" w:cstheme="majorBidi"/>
      <w:i/>
      <w:iCs/>
      <w:color w:val="272727" w:themeColor="text1" w:themeTint="D8"/>
      <w:kern w:val="0"/>
      <w:lang w:eastAsia="it-IT"/>
      <w14:ligatures w14:val="none"/>
    </w:rPr>
  </w:style>
  <w:style w:type="character" w:customStyle="1" w:styleId="Titolo9Carattere">
    <w:name w:val="Titolo 9 Carattere"/>
    <w:basedOn w:val="Carpredefinitoparagrafo"/>
    <w:link w:val="Titolo9"/>
    <w:uiPriority w:val="9"/>
    <w:semiHidden/>
    <w:rsid w:val="005F2362"/>
    <w:rPr>
      <w:rFonts w:eastAsiaTheme="majorEastAsia" w:cstheme="majorBidi"/>
      <w:color w:val="272727" w:themeColor="text1" w:themeTint="D8"/>
      <w:kern w:val="0"/>
      <w:lang w:eastAsia="it-IT"/>
      <w14:ligatures w14:val="none"/>
    </w:rPr>
  </w:style>
  <w:style w:type="paragraph" w:styleId="Titolo">
    <w:name w:val="Title"/>
    <w:basedOn w:val="Normale"/>
    <w:next w:val="Normale"/>
    <w:link w:val="TitoloCarattere"/>
    <w:uiPriority w:val="10"/>
    <w:qFormat/>
    <w:rsid w:val="005F236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F2362"/>
    <w:rPr>
      <w:rFonts w:asciiTheme="majorHAnsi" w:eastAsiaTheme="majorEastAsia" w:hAnsiTheme="majorHAnsi" w:cstheme="majorBidi"/>
      <w:spacing w:val="-10"/>
      <w:kern w:val="28"/>
      <w:sz w:val="56"/>
      <w:szCs w:val="56"/>
      <w:lang w:eastAsia="it-IT"/>
      <w14:ligatures w14:val="none"/>
    </w:rPr>
  </w:style>
  <w:style w:type="paragraph" w:styleId="Sottotitolo">
    <w:name w:val="Subtitle"/>
    <w:basedOn w:val="Normale"/>
    <w:next w:val="Normale"/>
    <w:link w:val="SottotitoloCarattere"/>
    <w:uiPriority w:val="11"/>
    <w:qFormat/>
    <w:rsid w:val="005F23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F2362"/>
    <w:rPr>
      <w:rFonts w:eastAsiaTheme="majorEastAsia" w:cstheme="majorBidi"/>
      <w:color w:val="595959" w:themeColor="text1" w:themeTint="A6"/>
      <w:spacing w:val="15"/>
      <w:kern w:val="0"/>
      <w:sz w:val="28"/>
      <w:szCs w:val="28"/>
      <w:lang w:eastAsia="it-IT"/>
      <w14:ligatures w14:val="none"/>
    </w:rPr>
  </w:style>
  <w:style w:type="paragraph" w:styleId="Citazione">
    <w:name w:val="Quote"/>
    <w:basedOn w:val="Normale"/>
    <w:next w:val="Normale"/>
    <w:link w:val="CitazioneCarattere"/>
    <w:uiPriority w:val="29"/>
    <w:qFormat/>
    <w:rsid w:val="0045065F"/>
    <w:pPr>
      <w:spacing w:before="120" w:after="120"/>
      <w:ind w:left="454" w:right="454"/>
    </w:pPr>
    <w:rPr>
      <w:iCs/>
      <w:color w:val="404040" w:themeColor="text1" w:themeTint="BF"/>
      <w:sz w:val="22"/>
    </w:rPr>
  </w:style>
  <w:style w:type="character" w:customStyle="1" w:styleId="CitazioneCarattere">
    <w:name w:val="Citazione Carattere"/>
    <w:basedOn w:val="Carpredefinitoparagrafo"/>
    <w:link w:val="Citazione"/>
    <w:uiPriority w:val="29"/>
    <w:rsid w:val="0045065F"/>
    <w:rPr>
      <w:rFonts w:ascii="Times New Roman" w:hAnsi="Times New Roman" w:cs="Times New Roman"/>
      <w:iCs/>
      <w:color w:val="404040" w:themeColor="text1" w:themeTint="BF"/>
      <w:kern w:val="0"/>
      <w:sz w:val="22"/>
      <w:lang w:eastAsia="it-IT"/>
      <w14:ligatures w14:val="none"/>
    </w:rPr>
  </w:style>
  <w:style w:type="paragraph" w:styleId="Paragrafoelenco">
    <w:name w:val="List Paragraph"/>
    <w:basedOn w:val="Normale"/>
    <w:uiPriority w:val="34"/>
    <w:qFormat/>
    <w:rsid w:val="005F2362"/>
    <w:pPr>
      <w:ind w:left="720"/>
      <w:contextualSpacing/>
    </w:pPr>
  </w:style>
  <w:style w:type="character" w:styleId="Enfasiintensa">
    <w:name w:val="Intense Emphasis"/>
    <w:basedOn w:val="Carpredefinitoparagrafo"/>
    <w:uiPriority w:val="21"/>
    <w:qFormat/>
    <w:rsid w:val="005F2362"/>
    <w:rPr>
      <w:i/>
      <w:iCs/>
      <w:color w:val="0F4761" w:themeColor="accent1" w:themeShade="BF"/>
    </w:rPr>
  </w:style>
  <w:style w:type="paragraph" w:styleId="Citazioneintensa">
    <w:name w:val="Intense Quote"/>
    <w:basedOn w:val="Normale"/>
    <w:next w:val="Normale"/>
    <w:link w:val="CitazioneintensaCarattere"/>
    <w:uiPriority w:val="30"/>
    <w:qFormat/>
    <w:rsid w:val="005F23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F2362"/>
    <w:rPr>
      <w:rFonts w:ascii="Times New Roman" w:hAnsi="Times New Roman" w:cs="Times New Roman"/>
      <w:i/>
      <w:iCs/>
      <w:color w:val="0F4761" w:themeColor="accent1" w:themeShade="BF"/>
      <w:kern w:val="0"/>
      <w:lang w:eastAsia="it-IT"/>
      <w14:ligatures w14:val="none"/>
    </w:rPr>
  </w:style>
  <w:style w:type="character" w:styleId="Riferimentointenso">
    <w:name w:val="Intense Reference"/>
    <w:basedOn w:val="Carpredefinitoparagrafo"/>
    <w:uiPriority w:val="32"/>
    <w:qFormat/>
    <w:rsid w:val="005F2362"/>
    <w:rPr>
      <w:b/>
      <w:bCs/>
      <w:smallCaps/>
      <w:color w:val="0F4761" w:themeColor="accent1" w:themeShade="BF"/>
      <w:spacing w:val="5"/>
    </w:rPr>
  </w:style>
  <w:style w:type="paragraph" w:styleId="Intestazione">
    <w:name w:val="header"/>
    <w:basedOn w:val="Normale"/>
    <w:link w:val="IntestazioneCarattere"/>
    <w:uiPriority w:val="99"/>
    <w:unhideWhenUsed/>
    <w:rsid w:val="00683DAB"/>
    <w:pPr>
      <w:tabs>
        <w:tab w:val="center" w:pos="4819"/>
        <w:tab w:val="right" w:pos="9638"/>
      </w:tabs>
    </w:pPr>
  </w:style>
  <w:style w:type="character" w:customStyle="1" w:styleId="IntestazioneCarattere">
    <w:name w:val="Intestazione Carattere"/>
    <w:basedOn w:val="Carpredefinitoparagrafo"/>
    <w:link w:val="Intestazione"/>
    <w:uiPriority w:val="99"/>
    <w:rsid w:val="00683DAB"/>
    <w:rPr>
      <w:rFonts w:ascii="Times New Roman" w:hAnsi="Times New Roman" w:cs="Times New Roman"/>
      <w:kern w:val="0"/>
      <w:lang w:eastAsia="it-IT"/>
      <w14:ligatures w14:val="none"/>
    </w:rPr>
  </w:style>
  <w:style w:type="character" w:styleId="Numeropagina">
    <w:name w:val="page number"/>
    <w:basedOn w:val="Carpredefinitoparagrafo"/>
    <w:uiPriority w:val="99"/>
    <w:semiHidden/>
    <w:unhideWhenUsed/>
    <w:rsid w:val="00683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146</TotalTime>
  <Pages>3</Pages>
  <Words>2150</Words>
  <Characters>10839</Characters>
  <Application>Microsoft Office Word</Application>
  <DocSecurity>0</DocSecurity>
  <Lines>148</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Corrado Sanguineti</dc:creator>
  <cp:keywords/>
  <dc:description/>
  <cp:lastModifiedBy>Corrado Sanguineti</cp:lastModifiedBy>
  <cp:revision>18</cp:revision>
  <cp:lastPrinted>2026-02-26T15:55:00Z</cp:lastPrinted>
  <dcterms:created xsi:type="dcterms:W3CDTF">2026-02-24T15:19:00Z</dcterms:created>
  <dcterms:modified xsi:type="dcterms:W3CDTF">2026-03-01T21:07:00Z</dcterms:modified>
</cp:coreProperties>
</file>